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A440" w14:textId="77777777" w:rsidR="00650B98" w:rsidRPr="00650B98" w:rsidRDefault="00650B98" w:rsidP="00650B98">
      <w:pPr>
        <w:spacing w:after="0" w:line="360" w:lineRule="auto"/>
        <w:jc w:val="center"/>
        <w:rPr>
          <w:rFonts w:eastAsia="Times New Roman" w:cs="Times New Roman"/>
          <w:color w:val="000000"/>
          <w:sz w:val="21"/>
          <w:szCs w:val="21"/>
          <w:lang w:eastAsia="es-CO"/>
        </w:rPr>
      </w:pPr>
      <w:r w:rsidRPr="00650B98">
        <w:rPr>
          <w:rFonts w:eastAsia="Times New Roman" w:cs="Times New Roman"/>
          <w:b/>
          <w:bCs/>
          <w:color w:val="000000"/>
          <w:sz w:val="21"/>
          <w:szCs w:val="21"/>
          <w:lang w:eastAsia="es-CO"/>
        </w:rPr>
        <w:t xml:space="preserve">OFICIO </w:t>
      </w:r>
      <w:proofErr w:type="spellStart"/>
      <w:r w:rsidRPr="00650B98">
        <w:rPr>
          <w:rFonts w:eastAsia="Times New Roman" w:cs="Times New Roman"/>
          <w:b/>
          <w:bCs/>
          <w:color w:val="000000"/>
          <w:sz w:val="21"/>
          <w:szCs w:val="21"/>
          <w:lang w:eastAsia="es-CO"/>
        </w:rPr>
        <w:t>Nº</w:t>
      </w:r>
      <w:proofErr w:type="spellEnd"/>
      <w:r w:rsidRPr="00650B98">
        <w:rPr>
          <w:rFonts w:eastAsia="Times New Roman" w:cs="Times New Roman"/>
          <w:b/>
          <w:bCs/>
          <w:color w:val="000000"/>
          <w:sz w:val="21"/>
          <w:szCs w:val="21"/>
          <w:lang w:eastAsia="es-CO"/>
        </w:rPr>
        <w:t xml:space="preserve"> 1139 [906782]</w:t>
      </w:r>
    </w:p>
    <w:p w14:paraId="121114C1" w14:textId="77777777" w:rsidR="00650B98" w:rsidRPr="00650B98" w:rsidRDefault="00650B98" w:rsidP="00650B98">
      <w:pPr>
        <w:spacing w:after="0" w:line="360" w:lineRule="auto"/>
        <w:jc w:val="center"/>
        <w:rPr>
          <w:rFonts w:eastAsia="Times New Roman" w:cs="Times New Roman"/>
          <w:color w:val="000000"/>
          <w:sz w:val="21"/>
          <w:szCs w:val="21"/>
          <w:lang w:eastAsia="es-CO"/>
        </w:rPr>
      </w:pPr>
      <w:r w:rsidRPr="00650B98">
        <w:rPr>
          <w:rFonts w:eastAsia="Times New Roman" w:cs="Times New Roman"/>
          <w:b/>
          <w:bCs/>
          <w:color w:val="000000"/>
          <w:sz w:val="21"/>
          <w:szCs w:val="21"/>
          <w:lang w:eastAsia="es-CO"/>
        </w:rPr>
        <w:t>08-09-2022</w:t>
      </w:r>
    </w:p>
    <w:p w14:paraId="3455DA00" w14:textId="77777777" w:rsidR="00650B98" w:rsidRPr="00650B98" w:rsidRDefault="00650B98" w:rsidP="00650B98">
      <w:pPr>
        <w:spacing w:after="0" w:line="360" w:lineRule="auto"/>
        <w:jc w:val="center"/>
        <w:rPr>
          <w:rFonts w:eastAsia="Times New Roman" w:cs="Times New Roman"/>
          <w:color w:val="000000"/>
          <w:sz w:val="21"/>
          <w:szCs w:val="21"/>
          <w:lang w:eastAsia="es-CO"/>
        </w:rPr>
      </w:pPr>
      <w:r w:rsidRPr="00650B98">
        <w:rPr>
          <w:rFonts w:eastAsia="Times New Roman" w:cs="Times New Roman"/>
          <w:b/>
          <w:bCs/>
          <w:color w:val="000000"/>
          <w:sz w:val="21"/>
          <w:szCs w:val="21"/>
          <w:lang w:eastAsia="es-CO"/>
        </w:rPr>
        <w:t>DIAN</w:t>
      </w:r>
    </w:p>
    <w:p w14:paraId="5C98FA14"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 </w:t>
      </w:r>
    </w:p>
    <w:p w14:paraId="73BEC76D"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 </w:t>
      </w:r>
    </w:p>
    <w:p w14:paraId="78F58B98"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Subdirección de Normativa y Doctrina</w:t>
      </w:r>
    </w:p>
    <w:p w14:paraId="7EF92EBD"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100208192-1139</w:t>
      </w:r>
    </w:p>
    <w:p w14:paraId="388317D9"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Bogotá, D.C.</w:t>
      </w:r>
    </w:p>
    <w:p w14:paraId="1836BE2B"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 </w:t>
      </w:r>
    </w:p>
    <w:tbl>
      <w:tblPr>
        <w:tblW w:w="0" w:type="auto"/>
        <w:tblCellMar>
          <w:top w:w="15" w:type="dxa"/>
          <w:left w:w="15" w:type="dxa"/>
          <w:bottom w:w="15" w:type="dxa"/>
          <w:right w:w="15" w:type="dxa"/>
        </w:tblCellMar>
        <w:tblLook w:val="04A0" w:firstRow="1" w:lastRow="0" w:firstColumn="1" w:lastColumn="0" w:noHBand="0" w:noVBand="1"/>
      </w:tblPr>
      <w:tblGrid>
        <w:gridCol w:w="2266"/>
        <w:gridCol w:w="6572"/>
      </w:tblGrid>
      <w:tr w:rsidR="00650B98" w:rsidRPr="00650B98" w14:paraId="22E89243" w14:textId="77777777" w:rsidTr="00650B98">
        <w:tc>
          <w:tcPr>
            <w:tcW w:w="2266" w:type="dxa"/>
            <w:tcBorders>
              <w:top w:val="nil"/>
              <w:left w:val="nil"/>
              <w:bottom w:val="nil"/>
              <w:right w:val="nil"/>
            </w:tcBorders>
            <w:tcMar>
              <w:top w:w="0" w:type="dxa"/>
              <w:left w:w="105" w:type="dxa"/>
              <w:bottom w:w="0" w:type="dxa"/>
              <w:right w:w="105" w:type="dxa"/>
            </w:tcMar>
            <w:hideMark/>
          </w:tcPr>
          <w:p w14:paraId="072A4567" w14:textId="77777777" w:rsidR="00650B98" w:rsidRPr="00650B98" w:rsidRDefault="00650B98" w:rsidP="00650B98">
            <w:pPr>
              <w:spacing w:after="0" w:line="360" w:lineRule="auto"/>
              <w:jc w:val="both"/>
              <w:rPr>
                <w:rFonts w:eastAsia="Times New Roman" w:cs="Times New Roman"/>
                <w:sz w:val="21"/>
                <w:szCs w:val="21"/>
                <w:highlight w:val="yellow"/>
                <w:lang w:eastAsia="es-CO"/>
              </w:rPr>
            </w:pPr>
            <w:r w:rsidRPr="00650B98">
              <w:rPr>
                <w:rFonts w:eastAsia="Times New Roman" w:cs="Times New Roman"/>
                <w:sz w:val="21"/>
                <w:szCs w:val="21"/>
                <w:highlight w:val="yellow"/>
                <w:lang w:eastAsia="es-CO"/>
              </w:rPr>
              <w:t>Tema:</w:t>
            </w:r>
          </w:p>
        </w:tc>
        <w:tc>
          <w:tcPr>
            <w:tcW w:w="6572" w:type="dxa"/>
            <w:tcBorders>
              <w:top w:val="nil"/>
              <w:left w:val="nil"/>
              <w:bottom w:val="nil"/>
              <w:right w:val="nil"/>
            </w:tcBorders>
            <w:tcMar>
              <w:top w:w="0" w:type="dxa"/>
              <w:left w:w="105" w:type="dxa"/>
              <w:bottom w:w="0" w:type="dxa"/>
              <w:right w:w="105" w:type="dxa"/>
            </w:tcMar>
            <w:hideMark/>
          </w:tcPr>
          <w:p w14:paraId="7BB5225B" w14:textId="77777777" w:rsidR="00650B98" w:rsidRPr="00650B98" w:rsidRDefault="00650B98" w:rsidP="00650B98">
            <w:pPr>
              <w:spacing w:after="0" w:line="360" w:lineRule="auto"/>
              <w:jc w:val="both"/>
              <w:rPr>
                <w:rFonts w:eastAsia="Times New Roman" w:cs="Times New Roman"/>
                <w:sz w:val="21"/>
                <w:szCs w:val="21"/>
                <w:highlight w:val="yellow"/>
                <w:lang w:eastAsia="es-CO"/>
              </w:rPr>
            </w:pPr>
            <w:r w:rsidRPr="00650B98">
              <w:rPr>
                <w:rFonts w:eastAsia="Times New Roman" w:cs="Times New Roman"/>
                <w:sz w:val="21"/>
                <w:szCs w:val="21"/>
                <w:highlight w:val="yellow"/>
                <w:lang w:eastAsia="es-CO"/>
              </w:rPr>
              <w:t>Procedimiento tributario</w:t>
            </w:r>
          </w:p>
          <w:p w14:paraId="6EF4081F" w14:textId="77777777" w:rsidR="00650B98" w:rsidRPr="00650B98" w:rsidRDefault="00650B98" w:rsidP="00650B98">
            <w:pPr>
              <w:spacing w:after="0" w:line="360" w:lineRule="auto"/>
              <w:jc w:val="both"/>
              <w:rPr>
                <w:rFonts w:eastAsia="Times New Roman" w:cs="Times New Roman"/>
                <w:sz w:val="21"/>
                <w:szCs w:val="21"/>
                <w:highlight w:val="yellow"/>
                <w:lang w:eastAsia="es-CO"/>
              </w:rPr>
            </w:pPr>
            <w:r w:rsidRPr="00650B98">
              <w:rPr>
                <w:rFonts w:eastAsia="Times New Roman" w:cs="Times New Roman"/>
                <w:sz w:val="21"/>
                <w:szCs w:val="21"/>
                <w:highlight w:val="yellow"/>
                <w:lang w:eastAsia="es-CO"/>
              </w:rPr>
              <w:t>Sistema de facturación electrónica</w:t>
            </w:r>
          </w:p>
        </w:tc>
      </w:tr>
      <w:tr w:rsidR="00650B98" w:rsidRPr="00650B98" w14:paraId="21AC6DCB" w14:textId="77777777" w:rsidTr="00650B98">
        <w:tc>
          <w:tcPr>
            <w:tcW w:w="2266" w:type="dxa"/>
            <w:tcBorders>
              <w:top w:val="nil"/>
              <w:left w:val="nil"/>
              <w:bottom w:val="nil"/>
              <w:right w:val="nil"/>
            </w:tcBorders>
            <w:tcMar>
              <w:top w:w="0" w:type="dxa"/>
              <w:left w:w="105" w:type="dxa"/>
              <w:bottom w:w="0" w:type="dxa"/>
              <w:right w:w="105" w:type="dxa"/>
            </w:tcMar>
            <w:hideMark/>
          </w:tcPr>
          <w:p w14:paraId="4F3FD7B3" w14:textId="77777777" w:rsidR="00650B98" w:rsidRPr="00650B98" w:rsidRDefault="00650B98" w:rsidP="00650B98">
            <w:pPr>
              <w:spacing w:after="0" w:line="360" w:lineRule="auto"/>
              <w:jc w:val="both"/>
              <w:rPr>
                <w:rFonts w:eastAsia="Times New Roman" w:cs="Times New Roman"/>
                <w:sz w:val="21"/>
                <w:szCs w:val="21"/>
                <w:highlight w:val="yellow"/>
                <w:lang w:eastAsia="es-CO"/>
              </w:rPr>
            </w:pPr>
            <w:r w:rsidRPr="00650B98">
              <w:rPr>
                <w:rFonts w:eastAsia="Times New Roman" w:cs="Times New Roman"/>
                <w:sz w:val="21"/>
                <w:szCs w:val="21"/>
                <w:highlight w:val="yellow"/>
                <w:lang w:eastAsia="es-CO"/>
              </w:rPr>
              <w:t>Descriptores:</w:t>
            </w:r>
          </w:p>
        </w:tc>
        <w:tc>
          <w:tcPr>
            <w:tcW w:w="6572" w:type="dxa"/>
            <w:tcBorders>
              <w:top w:val="nil"/>
              <w:left w:val="nil"/>
              <w:bottom w:val="nil"/>
              <w:right w:val="nil"/>
            </w:tcBorders>
            <w:tcMar>
              <w:top w:w="0" w:type="dxa"/>
              <w:left w:w="105" w:type="dxa"/>
              <w:bottom w:w="0" w:type="dxa"/>
              <w:right w:w="105" w:type="dxa"/>
            </w:tcMar>
            <w:hideMark/>
          </w:tcPr>
          <w:p w14:paraId="5F42D32E" w14:textId="77777777" w:rsidR="00650B98" w:rsidRPr="00650B98" w:rsidRDefault="00650B98" w:rsidP="00650B98">
            <w:pPr>
              <w:spacing w:after="0" w:line="360" w:lineRule="auto"/>
              <w:jc w:val="both"/>
              <w:rPr>
                <w:rFonts w:eastAsia="Times New Roman" w:cs="Times New Roman"/>
                <w:sz w:val="21"/>
                <w:szCs w:val="21"/>
                <w:highlight w:val="yellow"/>
                <w:lang w:eastAsia="es-CO"/>
              </w:rPr>
            </w:pPr>
            <w:r w:rsidRPr="00650B98">
              <w:rPr>
                <w:rFonts w:eastAsia="Times New Roman" w:cs="Times New Roman"/>
                <w:sz w:val="21"/>
                <w:szCs w:val="21"/>
                <w:highlight w:val="yellow"/>
                <w:lang w:eastAsia="es-CO"/>
              </w:rPr>
              <w:t>Registro de la factura electrónica de venta considerada título valor - RADIAN</w:t>
            </w:r>
          </w:p>
        </w:tc>
      </w:tr>
      <w:tr w:rsidR="00650B98" w:rsidRPr="00650B98" w14:paraId="042E5C5A" w14:textId="77777777" w:rsidTr="00650B98">
        <w:tc>
          <w:tcPr>
            <w:tcW w:w="2266" w:type="dxa"/>
            <w:tcBorders>
              <w:top w:val="nil"/>
              <w:left w:val="nil"/>
              <w:bottom w:val="nil"/>
              <w:right w:val="nil"/>
            </w:tcBorders>
            <w:tcMar>
              <w:top w:w="0" w:type="dxa"/>
              <w:left w:w="105" w:type="dxa"/>
              <w:bottom w:w="0" w:type="dxa"/>
              <w:right w:w="105" w:type="dxa"/>
            </w:tcMar>
            <w:hideMark/>
          </w:tcPr>
          <w:p w14:paraId="6EFCD5AB" w14:textId="77777777" w:rsidR="00650B98" w:rsidRPr="00650B98" w:rsidRDefault="00650B98" w:rsidP="00650B98">
            <w:pPr>
              <w:spacing w:after="0" w:line="360" w:lineRule="auto"/>
              <w:jc w:val="both"/>
              <w:rPr>
                <w:rFonts w:eastAsia="Times New Roman" w:cs="Times New Roman"/>
                <w:sz w:val="21"/>
                <w:szCs w:val="21"/>
                <w:highlight w:val="yellow"/>
                <w:lang w:eastAsia="es-CO"/>
              </w:rPr>
            </w:pPr>
            <w:r w:rsidRPr="00650B98">
              <w:rPr>
                <w:rFonts w:eastAsia="Times New Roman" w:cs="Times New Roman"/>
                <w:sz w:val="21"/>
                <w:szCs w:val="21"/>
                <w:highlight w:val="yellow"/>
                <w:lang w:eastAsia="es-CO"/>
              </w:rPr>
              <w:t>Fuentes formales:</w:t>
            </w:r>
          </w:p>
        </w:tc>
        <w:tc>
          <w:tcPr>
            <w:tcW w:w="6572" w:type="dxa"/>
            <w:tcBorders>
              <w:top w:val="nil"/>
              <w:left w:val="nil"/>
              <w:bottom w:val="nil"/>
              <w:right w:val="nil"/>
            </w:tcBorders>
            <w:tcMar>
              <w:top w:w="0" w:type="dxa"/>
              <w:left w:w="105" w:type="dxa"/>
              <w:bottom w:w="0" w:type="dxa"/>
              <w:right w:w="105" w:type="dxa"/>
            </w:tcMar>
            <w:hideMark/>
          </w:tcPr>
          <w:p w14:paraId="749DE18D" w14:textId="77777777" w:rsidR="00650B98" w:rsidRPr="00650B98" w:rsidRDefault="00650B98" w:rsidP="00650B98">
            <w:pPr>
              <w:spacing w:after="0" w:line="360" w:lineRule="auto"/>
              <w:jc w:val="both"/>
              <w:rPr>
                <w:rFonts w:eastAsia="Times New Roman" w:cs="Times New Roman"/>
                <w:sz w:val="21"/>
                <w:szCs w:val="21"/>
                <w:highlight w:val="yellow"/>
                <w:lang w:eastAsia="es-CO"/>
              </w:rPr>
            </w:pPr>
            <w:hyperlink r:id="rId4" w:tooltip="Estatuto Tributario CETA" w:history="1">
              <w:r w:rsidRPr="00650B98">
                <w:rPr>
                  <w:rFonts w:eastAsia="Times New Roman" w:cs="Times New Roman"/>
                  <w:color w:val="0645AD"/>
                  <w:sz w:val="21"/>
                  <w:szCs w:val="21"/>
                  <w:highlight w:val="yellow"/>
                  <w:u w:val="single"/>
                  <w:lang w:eastAsia="es-CO"/>
                </w:rPr>
                <w:t>Artículo 616-1</w:t>
              </w:r>
            </w:hyperlink>
            <w:r w:rsidRPr="00650B98">
              <w:rPr>
                <w:rFonts w:eastAsia="Times New Roman" w:cs="Times New Roman"/>
                <w:sz w:val="21"/>
                <w:szCs w:val="21"/>
                <w:highlight w:val="yellow"/>
                <w:lang w:eastAsia="es-CO"/>
              </w:rPr>
              <w:t> del Estatuto Tributario</w:t>
            </w:r>
          </w:p>
          <w:p w14:paraId="67E2D5BB" w14:textId="77777777" w:rsidR="00650B98" w:rsidRPr="00650B98" w:rsidRDefault="00650B98" w:rsidP="00650B98">
            <w:pPr>
              <w:spacing w:after="0" w:line="360" w:lineRule="auto"/>
              <w:jc w:val="both"/>
              <w:rPr>
                <w:rFonts w:eastAsia="Times New Roman" w:cs="Times New Roman"/>
                <w:sz w:val="21"/>
                <w:szCs w:val="21"/>
                <w:highlight w:val="yellow"/>
                <w:lang w:eastAsia="es-CO"/>
              </w:rPr>
            </w:pPr>
            <w:r w:rsidRPr="00650B98">
              <w:rPr>
                <w:rFonts w:eastAsia="Times New Roman" w:cs="Times New Roman"/>
                <w:sz w:val="21"/>
                <w:szCs w:val="21"/>
                <w:highlight w:val="yellow"/>
                <w:lang w:eastAsia="es-CO"/>
              </w:rPr>
              <w:t>Resolución DIAN No. 000085 de 2022</w:t>
            </w:r>
          </w:p>
        </w:tc>
      </w:tr>
    </w:tbl>
    <w:p w14:paraId="01998E04"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 </w:t>
      </w:r>
    </w:p>
    <w:p w14:paraId="7AE9CE18"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 </w:t>
      </w:r>
    </w:p>
    <w:p w14:paraId="76947A15"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Cordial saludo,</w:t>
      </w:r>
    </w:p>
    <w:p w14:paraId="391C7DAD"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 </w:t>
      </w:r>
    </w:p>
    <w:p w14:paraId="150E2E0B"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5C090774"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 </w:t>
      </w:r>
    </w:p>
    <w:p w14:paraId="616FD477"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Mediante el radicado de la referencia, el peticionario efectúa una serie de preguntas relacionadas con la Resolución DIAN No. 000085 de 2022, las cuales se resolverán en el orden propuesto.</w:t>
      </w:r>
    </w:p>
    <w:p w14:paraId="1A36C594"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 </w:t>
      </w:r>
    </w:p>
    <w:p w14:paraId="42468B45"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En todo caso, se reitera que no es competencia de este Despacho pronunciarse sobre situaciones de carácter particular ni prestar asesoría específica, por lo que corresponderá al peticionario definir, en su caso puntual, las obligaciones tributarias sustanciales y formales a las que haya lugar. De modo que, con el fin de tramitar su petición en los términos legales pertinentes, se procede a resolver los asuntos en materia tributaria de manera general, así:</w:t>
      </w:r>
    </w:p>
    <w:p w14:paraId="27599B01"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 </w:t>
      </w:r>
    </w:p>
    <w:p w14:paraId="339C2D09" w14:textId="77777777" w:rsidR="00650B98" w:rsidRPr="00650B98" w:rsidRDefault="00650B98" w:rsidP="00650B98">
      <w:pPr>
        <w:spacing w:after="0" w:line="360" w:lineRule="auto"/>
        <w:ind w:left="284"/>
        <w:jc w:val="both"/>
        <w:rPr>
          <w:rFonts w:eastAsia="Times New Roman" w:cs="Times New Roman"/>
          <w:color w:val="000000"/>
          <w:sz w:val="21"/>
          <w:szCs w:val="21"/>
          <w:lang w:eastAsia="es-CO"/>
        </w:rPr>
      </w:pPr>
      <w:r w:rsidRPr="00650B98">
        <w:rPr>
          <w:rFonts w:eastAsia="Times New Roman" w:cs="Times New Roman"/>
          <w:b/>
          <w:bCs/>
          <w:i/>
          <w:iCs/>
          <w:color w:val="000000"/>
          <w:sz w:val="21"/>
          <w:szCs w:val="21"/>
          <w:lang w:eastAsia="es-CO"/>
        </w:rPr>
        <w:t>1. “El emisor de la factura electrónica a crédito, va a negociar de forma posterior la factura emitida a su cliente a través de un factor. Si dicha factura, tiene el acuse de recibo de factura y el de bienes y servicios por parte del cliente, y además tiene el evento de reclamo, bien sea por temas parciales o totales:</w:t>
      </w:r>
    </w:p>
    <w:p w14:paraId="09788A8A" w14:textId="77777777" w:rsidR="00650B98" w:rsidRPr="00650B98" w:rsidRDefault="00650B98" w:rsidP="00650B98">
      <w:pPr>
        <w:spacing w:after="0" w:line="360" w:lineRule="auto"/>
        <w:ind w:left="284"/>
        <w:jc w:val="both"/>
        <w:rPr>
          <w:rFonts w:eastAsia="Times New Roman" w:cs="Times New Roman"/>
          <w:color w:val="000000"/>
          <w:sz w:val="21"/>
          <w:szCs w:val="21"/>
          <w:lang w:eastAsia="es-CO"/>
        </w:rPr>
      </w:pPr>
      <w:r w:rsidRPr="00650B98">
        <w:rPr>
          <w:rFonts w:eastAsia="Times New Roman" w:cs="Times New Roman"/>
          <w:b/>
          <w:bCs/>
          <w:i/>
          <w:iCs/>
          <w:color w:val="000000"/>
          <w:sz w:val="21"/>
          <w:szCs w:val="21"/>
          <w:lang w:eastAsia="es-CO"/>
        </w:rPr>
        <w:t>a) ¿El emisor deberá realizar nota crédito por la totalidad de la factura, y emitir una nueva factura?</w:t>
      </w:r>
    </w:p>
    <w:p w14:paraId="7067828F" w14:textId="77777777" w:rsidR="00650B98" w:rsidRPr="00650B98" w:rsidRDefault="00650B98" w:rsidP="00650B98">
      <w:pPr>
        <w:spacing w:after="0" w:line="360" w:lineRule="auto"/>
        <w:ind w:left="284"/>
        <w:jc w:val="both"/>
        <w:rPr>
          <w:rFonts w:eastAsia="Times New Roman" w:cs="Times New Roman"/>
          <w:color w:val="000000"/>
          <w:sz w:val="21"/>
          <w:szCs w:val="21"/>
          <w:lang w:eastAsia="es-CO"/>
        </w:rPr>
      </w:pPr>
      <w:r w:rsidRPr="00650B98">
        <w:rPr>
          <w:rFonts w:eastAsia="Times New Roman" w:cs="Times New Roman"/>
          <w:b/>
          <w:bCs/>
          <w:i/>
          <w:iCs/>
          <w:color w:val="000000"/>
          <w:sz w:val="21"/>
          <w:szCs w:val="21"/>
          <w:lang w:eastAsia="es-CO"/>
        </w:rPr>
        <w:t xml:space="preserve">2. El emisor de la factura electrónica a crédito, NO va a negociar de forma posterior la factura emitida a su cliente a través de un factor. Si la factura de venta que emite el </w:t>
      </w:r>
      <w:proofErr w:type="gramStart"/>
      <w:r w:rsidRPr="00650B98">
        <w:rPr>
          <w:rFonts w:eastAsia="Times New Roman" w:cs="Times New Roman"/>
          <w:b/>
          <w:bCs/>
          <w:i/>
          <w:iCs/>
          <w:color w:val="000000"/>
          <w:sz w:val="21"/>
          <w:szCs w:val="21"/>
          <w:lang w:eastAsia="es-CO"/>
        </w:rPr>
        <w:t>emisor,</w:t>
      </w:r>
      <w:proofErr w:type="gramEnd"/>
      <w:r w:rsidRPr="00650B98">
        <w:rPr>
          <w:rFonts w:eastAsia="Times New Roman" w:cs="Times New Roman"/>
          <w:b/>
          <w:bCs/>
          <w:i/>
          <w:iCs/>
          <w:color w:val="000000"/>
          <w:sz w:val="21"/>
          <w:szCs w:val="21"/>
          <w:lang w:eastAsia="es-CO"/>
        </w:rPr>
        <w:t xml:space="preserve"> tiene el acuse de recibo de factura y el de bienes y servicios por parte de su cliente, y además tiene el evento de reclamo, bien sea por temas parciales o totales:</w:t>
      </w:r>
    </w:p>
    <w:p w14:paraId="4E088B27" w14:textId="77777777" w:rsidR="00650B98" w:rsidRPr="00650B98" w:rsidRDefault="00650B98" w:rsidP="00650B98">
      <w:pPr>
        <w:spacing w:after="0" w:line="360" w:lineRule="auto"/>
        <w:ind w:left="284"/>
        <w:jc w:val="both"/>
        <w:rPr>
          <w:rFonts w:eastAsia="Times New Roman" w:cs="Times New Roman"/>
          <w:color w:val="000000"/>
          <w:sz w:val="21"/>
          <w:szCs w:val="21"/>
          <w:lang w:eastAsia="es-CO"/>
        </w:rPr>
      </w:pPr>
      <w:r w:rsidRPr="00650B98">
        <w:rPr>
          <w:rFonts w:eastAsia="Times New Roman" w:cs="Times New Roman"/>
          <w:b/>
          <w:bCs/>
          <w:i/>
          <w:iCs/>
          <w:color w:val="000000"/>
          <w:sz w:val="21"/>
          <w:szCs w:val="21"/>
          <w:lang w:eastAsia="es-CO"/>
        </w:rPr>
        <w:t>b) ¿El emisor deberá realizar nota crédito por la totalidad de la factura, y emitir una nueva factura electrónica, o, podrá realizar nota crédito parcial sobre la factura?</w:t>
      </w:r>
    </w:p>
    <w:p w14:paraId="38CF43E4" w14:textId="77777777" w:rsidR="00650B98" w:rsidRPr="00650B98" w:rsidRDefault="00650B98" w:rsidP="00650B98">
      <w:pPr>
        <w:spacing w:after="0" w:line="360" w:lineRule="auto"/>
        <w:ind w:left="284"/>
        <w:jc w:val="both"/>
        <w:rPr>
          <w:rFonts w:eastAsia="Times New Roman" w:cs="Times New Roman"/>
          <w:color w:val="000000"/>
          <w:sz w:val="21"/>
          <w:szCs w:val="21"/>
          <w:lang w:eastAsia="es-CO"/>
        </w:rPr>
      </w:pPr>
      <w:r w:rsidRPr="00650B98">
        <w:rPr>
          <w:rFonts w:eastAsia="Times New Roman" w:cs="Times New Roman"/>
          <w:b/>
          <w:bCs/>
          <w:i/>
          <w:iCs/>
          <w:color w:val="000000"/>
          <w:sz w:val="21"/>
          <w:szCs w:val="21"/>
          <w:lang w:eastAsia="es-CO"/>
        </w:rPr>
        <w:lastRenderedPageBreak/>
        <w:t>c) Si la nota crédito se puede hacer de forma parcial, ¿Se debe realizar sin que se asocie el número de la factura?”</w:t>
      </w:r>
    </w:p>
    <w:p w14:paraId="026C4AD0"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 </w:t>
      </w:r>
    </w:p>
    <w:p w14:paraId="0F7EBDE5"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Acerca de la procedencia y expedición de las notas crédito y notas débito de la factura electrónica de venta en el marco de competencia de esta Entidad, este Despacho se pronunció recientemente mediante el Oficio No. 100208192-1138 del 7 de septiembre de 2022, el cual se anexa al presente documento para su conocimiento y fines pertinentes.</w:t>
      </w:r>
    </w:p>
    <w:p w14:paraId="0C47B3BE"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 </w:t>
      </w:r>
    </w:p>
    <w:p w14:paraId="35C73752" w14:textId="77777777" w:rsidR="00650B98" w:rsidRPr="00650B98" w:rsidRDefault="00650B98" w:rsidP="00650B98">
      <w:pPr>
        <w:spacing w:after="0" w:line="360" w:lineRule="auto"/>
        <w:ind w:left="284"/>
        <w:jc w:val="both"/>
        <w:rPr>
          <w:rFonts w:eastAsia="Times New Roman" w:cs="Times New Roman"/>
          <w:color w:val="000000"/>
          <w:sz w:val="21"/>
          <w:szCs w:val="21"/>
          <w:lang w:eastAsia="es-CO"/>
        </w:rPr>
      </w:pPr>
      <w:r w:rsidRPr="00650B98">
        <w:rPr>
          <w:rFonts w:eastAsia="Times New Roman" w:cs="Times New Roman"/>
          <w:b/>
          <w:bCs/>
          <w:i/>
          <w:iCs/>
          <w:color w:val="000000"/>
          <w:sz w:val="21"/>
          <w:szCs w:val="21"/>
          <w:lang w:eastAsia="es-CO"/>
        </w:rPr>
        <w:t>3) “Si el receptor de la factura electrónica por error genera el evento de reclamo de la factura, ¿El emisor de la factura deberá realizar nota crédito sobre la factura, bien sea que el emisor negocie o no la respectiva factura con un factor?”</w:t>
      </w:r>
    </w:p>
    <w:p w14:paraId="36A22094"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 </w:t>
      </w:r>
    </w:p>
    <w:p w14:paraId="04C894CD"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Se precisa que escapa a la competencia legal de este Despacho pronunciarse sobre este asunto, por lo que, se deberá tener en cuenta la normatividad comercial y contable que regula la materia.</w:t>
      </w:r>
    </w:p>
    <w:p w14:paraId="1E013772"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 </w:t>
      </w:r>
    </w:p>
    <w:p w14:paraId="2FB8C205" w14:textId="77777777" w:rsidR="00650B98" w:rsidRPr="00650B98" w:rsidRDefault="00650B98" w:rsidP="00650B98">
      <w:pPr>
        <w:spacing w:after="0" w:line="360" w:lineRule="auto"/>
        <w:ind w:left="284"/>
        <w:jc w:val="both"/>
        <w:rPr>
          <w:rFonts w:eastAsia="Times New Roman" w:cs="Times New Roman"/>
          <w:color w:val="000000"/>
          <w:sz w:val="21"/>
          <w:szCs w:val="21"/>
          <w:lang w:eastAsia="es-CO"/>
        </w:rPr>
      </w:pPr>
      <w:r w:rsidRPr="00650B98">
        <w:rPr>
          <w:rFonts w:eastAsia="Times New Roman" w:cs="Times New Roman"/>
          <w:b/>
          <w:bCs/>
          <w:i/>
          <w:iCs/>
          <w:color w:val="000000"/>
          <w:sz w:val="21"/>
          <w:szCs w:val="21"/>
          <w:lang w:eastAsia="es-CO"/>
        </w:rPr>
        <w:t>4) “¿Existe alguna manera en que los contribuyentes puedan consultar en el portal de la DIAN de una forma masiva, todos los eventos que sus clientes hayan realizado sobre sus facturas? Si es así, ¿Se podría describir detalladamente el procedimiento?”</w:t>
      </w:r>
    </w:p>
    <w:p w14:paraId="5DF7F6BB"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 </w:t>
      </w:r>
    </w:p>
    <w:p w14:paraId="0CC157A0"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El sistema de facturación electrónica de la Dirección de Impuestos y Aduanas Nacionales -DIAN permite consultar la trazabilidad de los eventos asociados a una factura electrónica de venta como título valor. Sobre el particular, el “</w:t>
      </w:r>
      <w:r w:rsidRPr="00650B98">
        <w:rPr>
          <w:rFonts w:eastAsia="Times New Roman" w:cs="Times New Roman"/>
          <w:i/>
          <w:iCs/>
          <w:color w:val="000000"/>
          <w:sz w:val="21"/>
          <w:szCs w:val="21"/>
          <w:lang w:eastAsia="es-CO"/>
        </w:rPr>
        <w:t>Concepto Unificado No. 0106 del 19 de agosto de 2022 - Obligación de facturar y sistema de factura electrónica”</w:t>
      </w:r>
      <w:r w:rsidRPr="00650B98">
        <w:rPr>
          <w:rFonts w:eastAsia="Times New Roman" w:cs="Times New Roman"/>
          <w:color w:val="000000"/>
          <w:sz w:val="21"/>
          <w:szCs w:val="21"/>
          <w:lang w:eastAsia="es-CO"/>
        </w:rPr>
        <w:t> en el descriptor 5.1.4. Descriptor: “</w:t>
      </w:r>
      <w:r w:rsidRPr="00650B98">
        <w:rPr>
          <w:rFonts w:eastAsia="Times New Roman" w:cs="Times New Roman"/>
          <w:i/>
          <w:iCs/>
          <w:color w:val="000000"/>
          <w:sz w:val="21"/>
          <w:szCs w:val="21"/>
          <w:lang w:eastAsia="es-CO"/>
        </w:rPr>
        <w:t>Consulta y trazabilidad de eventos en el RADIAN y Certificado de existencia y trazabilidad de la factura de venta como título valor</w:t>
      </w:r>
      <w:r w:rsidRPr="00650B98">
        <w:rPr>
          <w:rFonts w:eastAsia="Times New Roman" w:cs="Times New Roman"/>
          <w:color w:val="000000"/>
          <w:sz w:val="21"/>
          <w:szCs w:val="21"/>
          <w:lang w:eastAsia="es-CO"/>
        </w:rPr>
        <w:t>”, señaló:</w:t>
      </w:r>
    </w:p>
    <w:p w14:paraId="704B59FB"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 </w:t>
      </w:r>
    </w:p>
    <w:p w14:paraId="15C7EF9E" w14:textId="77777777" w:rsidR="00650B98" w:rsidRPr="00650B98" w:rsidRDefault="00650B98" w:rsidP="00650B98">
      <w:pPr>
        <w:spacing w:after="0" w:line="360" w:lineRule="auto"/>
        <w:ind w:left="284"/>
        <w:jc w:val="both"/>
        <w:rPr>
          <w:rFonts w:eastAsia="Times New Roman" w:cs="Times New Roman"/>
          <w:color w:val="000000"/>
          <w:sz w:val="21"/>
          <w:szCs w:val="21"/>
          <w:lang w:eastAsia="es-CO"/>
        </w:rPr>
      </w:pPr>
      <w:r w:rsidRPr="00650B98">
        <w:rPr>
          <w:rFonts w:eastAsia="Times New Roman" w:cs="Times New Roman"/>
          <w:i/>
          <w:iCs/>
          <w:color w:val="000000"/>
          <w:sz w:val="21"/>
          <w:szCs w:val="21"/>
          <w:lang w:eastAsia="es-CO"/>
        </w:rPr>
        <w:t>5.1.4. Descriptor: </w:t>
      </w:r>
      <w:r w:rsidRPr="00650B98">
        <w:rPr>
          <w:rFonts w:eastAsia="Times New Roman" w:cs="Times New Roman"/>
          <w:b/>
          <w:bCs/>
          <w:i/>
          <w:iCs/>
          <w:color w:val="000000"/>
          <w:sz w:val="21"/>
          <w:szCs w:val="21"/>
          <w:lang w:eastAsia="es-CO"/>
        </w:rPr>
        <w:t>Consulta y trazabilidad de eventos en el RADIAN y Certificado de existencia y trazabilidad de la factura de venta como título valor</w:t>
      </w:r>
    </w:p>
    <w:p w14:paraId="32403693" w14:textId="77777777" w:rsidR="00650B98" w:rsidRPr="00650B98" w:rsidRDefault="00650B98" w:rsidP="00650B98">
      <w:pPr>
        <w:spacing w:after="0" w:line="360" w:lineRule="auto"/>
        <w:ind w:left="284"/>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 </w:t>
      </w:r>
    </w:p>
    <w:p w14:paraId="647A6564" w14:textId="77777777" w:rsidR="00650B98" w:rsidRPr="00650B98" w:rsidRDefault="00650B98" w:rsidP="00650B98">
      <w:pPr>
        <w:spacing w:after="0" w:line="360" w:lineRule="auto"/>
        <w:ind w:left="284"/>
        <w:jc w:val="both"/>
        <w:rPr>
          <w:rFonts w:eastAsia="Times New Roman" w:cs="Times New Roman"/>
          <w:color w:val="000000"/>
          <w:sz w:val="21"/>
          <w:szCs w:val="21"/>
          <w:lang w:eastAsia="es-CO"/>
        </w:rPr>
      </w:pPr>
      <w:r w:rsidRPr="00650B98">
        <w:rPr>
          <w:rFonts w:eastAsia="Times New Roman" w:cs="Times New Roman"/>
          <w:i/>
          <w:iCs/>
          <w:color w:val="000000"/>
          <w:sz w:val="21"/>
          <w:szCs w:val="21"/>
          <w:lang w:eastAsia="es-CO"/>
        </w:rPr>
        <w:t>De conformidad con lo dispuesto en el artículo 23 de la Resolución DIAN No. 000085 de 2022, el certificado de existencia y trazabilidad de la factura electrónica de venta como título valor que circula en el territorio nacional, es:</w:t>
      </w:r>
    </w:p>
    <w:p w14:paraId="46908BD0" w14:textId="77777777" w:rsidR="00650B98" w:rsidRPr="00650B98" w:rsidRDefault="00650B98" w:rsidP="00650B98">
      <w:pPr>
        <w:spacing w:after="0" w:line="360" w:lineRule="auto"/>
        <w:ind w:left="284"/>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 </w:t>
      </w:r>
    </w:p>
    <w:p w14:paraId="32508647" w14:textId="77777777" w:rsidR="00650B98" w:rsidRPr="00650B98" w:rsidRDefault="00650B98" w:rsidP="00650B98">
      <w:pPr>
        <w:spacing w:after="0" w:line="360" w:lineRule="auto"/>
        <w:ind w:left="284"/>
        <w:jc w:val="both"/>
        <w:rPr>
          <w:rFonts w:eastAsia="Times New Roman" w:cs="Times New Roman"/>
          <w:color w:val="000000"/>
          <w:sz w:val="21"/>
          <w:szCs w:val="21"/>
          <w:lang w:eastAsia="es-CO"/>
        </w:rPr>
      </w:pPr>
      <w:r w:rsidRPr="00650B98">
        <w:rPr>
          <w:rFonts w:eastAsia="Times New Roman" w:cs="Times New Roman"/>
          <w:i/>
          <w:iCs/>
          <w:color w:val="000000"/>
          <w:sz w:val="21"/>
          <w:szCs w:val="21"/>
          <w:lang w:eastAsia="es-CO"/>
        </w:rPr>
        <w:t>“(...) </w:t>
      </w:r>
      <w:r w:rsidRPr="00650B98">
        <w:rPr>
          <w:rFonts w:eastAsia="Times New Roman" w:cs="Times New Roman"/>
          <w:i/>
          <w:iCs/>
          <w:color w:val="000000"/>
          <w:sz w:val="21"/>
          <w:szCs w:val="21"/>
          <w:u w:val="single"/>
          <w:lang w:eastAsia="es-CO"/>
        </w:rPr>
        <w:t>el documento electrónico que contiene la trazabilidad de los eventos asociados a una factura electrónica de venta como título valor</w:t>
      </w:r>
      <w:r w:rsidRPr="00650B98">
        <w:rPr>
          <w:rFonts w:eastAsia="Times New Roman" w:cs="Times New Roman"/>
          <w:i/>
          <w:iCs/>
          <w:color w:val="000000"/>
          <w:sz w:val="21"/>
          <w:szCs w:val="21"/>
          <w:lang w:eastAsia="es-CO"/>
        </w:rPr>
        <w:t xml:space="preserve"> que han sido objeto de inscripción y que es generado por el sistema de facturación electrónica de la Unidad Administrativa Especial Dirección de Impuestos y Aduanas Nacionales (DIAN), funcionalidad RADIAN a los usuarios </w:t>
      </w:r>
      <w:proofErr w:type="gramStart"/>
      <w:r w:rsidRPr="00650B98">
        <w:rPr>
          <w:rFonts w:eastAsia="Times New Roman" w:cs="Times New Roman"/>
          <w:i/>
          <w:iCs/>
          <w:color w:val="000000"/>
          <w:sz w:val="21"/>
          <w:szCs w:val="21"/>
          <w:lang w:eastAsia="es-CO"/>
        </w:rPr>
        <w:t>del mismo</w:t>
      </w:r>
      <w:proofErr w:type="gramEnd"/>
      <w:r w:rsidRPr="00650B98">
        <w:rPr>
          <w:rFonts w:eastAsia="Times New Roman" w:cs="Times New Roman"/>
          <w:i/>
          <w:iCs/>
          <w:color w:val="000000"/>
          <w:sz w:val="21"/>
          <w:szCs w:val="21"/>
          <w:lang w:eastAsia="es-CO"/>
        </w:rPr>
        <w:t>. Este certificado podrá tener representaciones gráficas en formato digital”. </w:t>
      </w:r>
      <w:r w:rsidRPr="00650B98">
        <w:rPr>
          <w:rFonts w:eastAsia="Times New Roman" w:cs="Times New Roman"/>
          <w:color w:val="000000"/>
          <w:sz w:val="21"/>
          <w:szCs w:val="21"/>
          <w:lang w:eastAsia="es-CO"/>
        </w:rPr>
        <w:t>(Subrayado por fuera de texto).</w:t>
      </w:r>
    </w:p>
    <w:p w14:paraId="563C11DB" w14:textId="77777777" w:rsidR="00650B98" w:rsidRPr="00650B98" w:rsidRDefault="00650B98" w:rsidP="00650B98">
      <w:pPr>
        <w:spacing w:after="0" w:line="360" w:lineRule="auto"/>
        <w:ind w:left="284"/>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 </w:t>
      </w:r>
    </w:p>
    <w:p w14:paraId="5985E403" w14:textId="77777777" w:rsidR="00650B98" w:rsidRPr="00650B98" w:rsidRDefault="00650B98" w:rsidP="00650B98">
      <w:pPr>
        <w:spacing w:after="0" w:line="360" w:lineRule="auto"/>
        <w:ind w:left="284"/>
        <w:jc w:val="both"/>
        <w:rPr>
          <w:rFonts w:eastAsia="Times New Roman" w:cs="Times New Roman"/>
          <w:color w:val="000000"/>
          <w:sz w:val="21"/>
          <w:szCs w:val="21"/>
          <w:lang w:eastAsia="es-CO"/>
        </w:rPr>
      </w:pPr>
      <w:r w:rsidRPr="00650B98">
        <w:rPr>
          <w:rFonts w:eastAsia="Times New Roman" w:cs="Times New Roman"/>
          <w:i/>
          <w:iCs/>
          <w:color w:val="000000"/>
          <w:sz w:val="21"/>
          <w:szCs w:val="21"/>
          <w:lang w:eastAsia="es-CO"/>
        </w:rPr>
        <w:t xml:space="preserve">Así las cosas, el certificado de existencia y trazabilidad de la factura electrónica de venta como título valor que circula en el territorio nacional, será generado por el sistema de facturación electrónica de la DIAN, funcionalidad RADIAN a los usuarios </w:t>
      </w:r>
      <w:proofErr w:type="gramStart"/>
      <w:r w:rsidRPr="00650B98">
        <w:rPr>
          <w:rFonts w:eastAsia="Times New Roman" w:cs="Times New Roman"/>
          <w:i/>
          <w:iCs/>
          <w:color w:val="000000"/>
          <w:sz w:val="21"/>
          <w:szCs w:val="21"/>
          <w:lang w:eastAsia="es-CO"/>
        </w:rPr>
        <w:t>del mismo</w:t>
      </w:r>
      <w:proofErr w:type="gramEnd"/>
      <w:r w:rsidRPr="00650B98">
        <w:rPr>
          <w:rFonts w:eastAsia="Times New Roman" w:cs="Times New Roman"/>
          <w:i/>
          <w:iCs/>
          <w:color w:val="000000"/>
          <w:sz w:val="21"/>
          <w:szCs w:val="21"/>
          <w:lang w:eastAsia="es-CO"/>
        </w:rPr>
        <w:t>”.</w:t>
      </w:r>
    </w:p>
    <w:p w14:paraId="00891EAF"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 </w:t>
      </w:r>
    </w:p>
    <w:p w14:paraId="276AE004"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 xml:space="preserve">Finalmente, se informa que se podrá consultar las facturas electrónicas de venta validadas por la Dirección de Impuestos y Aduanas Nacionales -DIAN ingresando el Código Único de Factura Electrónica (CUFE) en el siguiente </w:t>
      </w:r>
      <w:proofErr w:type="gramStart"/>
      <w:r w:rsidRPr="00650B98">
        <w:rPr>
          <w:rFonts w:eastAsia="Times New Roman" w:cs="Times New Roman"/>
          <w:color w:val="000000"/>
          <w:sz w:val="21"/>
          <w:szCs w:val="21"/>
          <w:lang w:eastAsia="es-CO"/>
        </w:rPr>
        <w:t>link</w:t>
      </w:r>
      <w:proofErr w:type="gramEnd"/>
      <w:r w:rsidRPr="00650B98">
        <w:rPr>
          <w:rFonts w:eastAsia="Times New Roman" w:cs="Times New Roman"/>
          <w:color w:val="000000"/>
          <w:sz w:val="21"/>
          <w:szCs w:val="21"/>
          <w:lang w:eastAsia="es-CO"/>
        </w:rPr>
        <w:t>: </w:t>
      </w:r>
      <w:hyperlink r:id="rId5" w:tgtFrame="_blank" w:history="1">
        <w:r w:rsidRPr="00650B98">
          <w:rPr>
            <w:rFonts w:eastAsia="Times New Roman" w:cs="Times New Roman"/>
            <w:color w:val="0645AD"/>
            <w:sz w:val="21"/>
            <w:szCs w:val="21"/>
            <w:u w:val="single"/>
            <w:lang w:eastAsia="es-CO"/>
          </w:rPr>
          <w:t>https://catalogo-vpfe.dian.gov.co/User/SearchDocument</w:t>
        </w:r>
      </w:hyperlink>
    </w:p>
    <w:p w14:paraId="4A20B506"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lastRenderedPageBreak/>
        <w:t> </w:t>
      </w:r>
    </w:p>
    <w:p w14:paraId="5C27F20B"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 </w:t>
      </w:r>
    </w:p>
    <w:p w14:paraId="037D706F"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Atentamente,</w:t>
      </w:r>
    </w:p>
    <w:p w14:paraId="7E4EFD08"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 </w:t>
      </w:r>
    </w:p>
    <w:p w14:paraId="374E0A47"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 </w:t>
      </w:r>
    </w:p>
    <w:p w14:paraId="47ED0EB3"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b/>
          <w:bCs/>
          <w:color w:val="000000"/>
          <w:sz w:val="21"/>
          <w:szCs w:val="21"/>
          <w:lang w:eastAsia="es-CO"/>
        </w:rPr>
        <w:t>NICOLÁS BERNAL ABELLA</w:t>
      </w:r>
    </w:p>
    <w:p w14:paraId="6C59B8C0"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Subdirector de Normativa y Doctrina (E)</w:t>
      </w:r>
    </w:p>
    <w:p w14:paraId="491181C7"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Dirección de Gestión Jurídica</w:t>
      </w:r>
    </w:p>
    <w:p w14:paraId="3FAC9C04" w14:textId="77777777" w:rsidR="00650B98" w:rsidRPr="00650B98" w:rsidRDefault="00650B98" w:rsidP="00650B98">
      <w:pPr>
        <w:spacing w:after="0" w:line="360" w:lineRule="auto"/>
        <w:jc w:val="both"/>
        <w:rPr>
          <w:rFonts w:eastAsia="Times New Roman" w:cs="Times New Roman"/>
          <w:color w:val="000000"/>
          <w:sz w:val="21"/>
          <w:szCs w:val="21"/>
          <w:lang w:eastAsia="es-CO"/>
        </w:rPr>
      </w:pPr>
      <w:r w:rsidRPr="00650B98">
        <w:rPr>
          <w:rFonts w:eastAsia="Times New Roman" w:cs="Times New Roman"/>
          <w:color w:val="000000"/>
          <w:sz w:val="21"/>
          <w:szCs w:val="21"/>
          <w:lang w:eastAsia="es-CO"/>
        </w:rPr>
        <w:t>UAE-Dirección de Impuestos y Aduanas Nacionales</w:t>
      </w:r>
    </w:p>
    <w:p w14:paraId="1CEDDB3F" w14:textId="77777777" w:rsidR="007F5CC8" w:rsidRPr="00650B98" w:rsidRDefault="007F5CC8" w:rsidP="00650B98">
      <w:pPr>
        <w:spacing w:line="360" w:lineRule="auto"/>
        <w:rPr>
          <w:rFonts w:cs="Times New Roman"/>
        </w:rPr>
      </w:pPr>
    </w:p>
    <w:sectPr w:rsidR="007F5CC8" w:rsidRPr="00650B9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98"/>
    <w:rsid w:val="000F3837"/>
    <w:rsid w:val="001E311E"/>
    <w:rsid w:val="00434AE6"/>
    <w:rsid w:val="00650B98"/>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27DD"/>
  <w15:chartTrackingRefBased/>
  <w15:docId w15:val="{F974AB42-8428-404F-848C-B6DA66BA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3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talogo-vpfe.dian.gov.co/User/SearchDocument" TargetMode="External"/><Relationship Id="rId4" Type="http://schemas.openxmlformats.org/officeDocument/2006/relationships/hyperlink" Target="https://www.ceta.org.co/html/vista_de_un_articulo.asp?Norma=75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926</Words>
  <Characters>5099</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2022-10-27T20:41:00Z</dcterms:created>
  <dcterms:modified xsi:type="dcterms:W3CDTF">2022-10-27T20:45:00Z</dcterms:modified>
</cp:coreProperties>
</file>